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50079pt;margin-top:0pt;width:595.2pt;height:834.7pt;mso-position-horizontal-relative:page;mso-position-vertical-relative:page;z-index:-4144" coordorigin="1,0" coordsize="11904,16694">
            <v:shape style="position:absolute;left:1;top:0;width:11904;height:16694" type="#_x0000_t75" stroked="false">
              <v:imagedata r:id="rId5" o:title=""/>
            </v:shape>
            <v:shape style="position:absolute;left:3778;top:1417;width:4379;height:206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25"/>
        <w:ind w:left="2292" w:right="0" w:firstLine="0"/>
        <w:jc w:val="left"/>
        <w:rPr>
          <w:b/>
          <w:sz w:val="24"/>
        </w:rPr>
      </w:pPr>
      <w:r>
        <w:rPr>
          <w:b/>
          <w:sz w:val="24"/>
        </w:rPr>
        <w:t>ACORDO COMERCIAL OAB CAAMG</w:t>
      </w:r>
    </w:p>
    <w:p>
      <w:pPr>
        <w:pStyle w:val="BodyText"/>
        <w:spacing w:line="256" w:lineRule="auto" w:before="181"/>
        <w:ind w:left="122"/>
      </w:pPr>
      <w:r>
        <w:rPr/>
        <w:t>É com enorme satisfação que enviamos o ACORDO TARIFÁRIO para hospedagem dos Advogados da OAB/ CAAMG no Nobile Express Juiz de Fora.</w:t>
      </w:r>
    </w:p>
    <w:p>
      <w:pPr>
        <w:pStyle w:val="BodyText"/>
        <w:spacing w:line="259" w:lineRule="auto" w:before="163"/>
        <w:ind w:left="122" w:right="117"/>
        <w:jc w:val="both"/>
      </w:pPr>
      <w:r>
        <w:rPr/>
        <w:t>O </w:t>
      </w:r>
      <w:r>
        <w:rPr>
          <w:b/>
        </w:rPr>
        <w:t>Nobile Express Juiz de Fora </w:t>
      </w:r>
      <w:r>
        <w:rPr/>
        <w:t>está localizado na Avenida Presidente Itamar Franco a 600 metros do Calçadão da Rua Halfeld. Oferece 101 apartamentos confortáveis e modernamente equipados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padrão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Rede</w:t>
      </w:r>
      <w:r>
        <w:rPr>
          <w:spacing w:val="-5"/>
        </w:rPr>
        <w:t> </w:t>
      </w:r>
      <w:r>
        <w:rPr/>
        <w:t>Nobile.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apartamentos</w:t>
      </w:r>
      <w:r>
        <w:rPr>
          <w:spacing w:val="-4"/>
        </w:rPr>
        <w:t> </w:t>
      </w:r>
      <w:r>
        <w:rPr/>
        <w:t>oferecem</w:t>
      </w:r>
      <w:r>
        <w:rPr>
          <w:spacing w:val="-3"/>
        </w:rPr>
        <w:t> </w:t>
      </w:r>
      <w:r>
        <w:rPr/>
        <w:t>mesa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trabalho,</w:t>
      </w:r>
      <w:r>
        <w:rPr>
          <w:spacing w:val="-4"/>
        </w:rPr>
        <w:t> </w:t>
      </w:r>
      <w:r>
        <w:rPr/>
        <w:t>TV LCD, cofre, ar condicionado, frigobar, secador de cabelo e</w:t>
      </w:r>
      <w:r>
        <w:rPr>
          <w:spacing w:val="2"/>
        </w:rPr>
        <w:t> </w:t>
      </w:r>
      <w:r>
        <w:rPr/>
        <w:t>varanda.</w:t>
      </w:r>
    </w:p>
    <w:p>
      <w:pPr>
        <w:spacing w:before="161"/>
        <w:ind w:left="2905" w:right="2853" w:firstLine="0"/>
        <w:jc w:val="center"/>
        <w:rPr>
          <w:b/>
          <w:sz w:val="18"/>
        </w:rPr>
      </w:pPr>
      <w:r>
        <w:rPr>
          <w:b/>
          <w:color w:val="44536A"/>
          <w:sz w:val="18"/>
        </w:rPr>
        <w:t>VALIDADE DA TARIFA: 31/12/2019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643"/>
        <w:gridCol w:w="1561"/>
        <w:gridCol w:w="1726"/>
        <w:gridCol w:w="1554"/>
      </w:tblGrid>
      <w:tr>
        <w:trPr>
          <w:trHeight w:val="253" w:hRule="atLeast"/>
        </w:trPr>
        <w:tc>
          <w:tcPr>
            <w:tcW w:w="1762" w:type="dxa"/>
            <w:vMerge w:val="restart"/>
            <w:shd w:val="clear" w:color="auto" w:fill="9CC2E4"/>
          </w:tcPr>
          <w:p>
            <w:pPr>
              <w:pStyle w:val="TableParagraph"/>
              <w:spacing w:before="164"/>
              <w:ind w:left="11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APARTAMENTOS</w:t>
            </w:r>
          </w:p>
        </w:tc>
        <w:tc>
          <w:tcPr>
            <w:tcW w:w="3204" w:type="dxa"/>
            <w:gridSpan w:val="2"/>
            <w:shd w:val="clear" w:color="auto" w:fill="DEEAF6"/>
          </w:tcPr>
          <w:p>
            <w:pPr>
              <w:pStyle w:val="TableParagraph"/>
              <w:ind w:left="101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TRF BALCAO</w:t>
            </w:r>
          </w:p>
        </w:tc>
        <w:tc>
          <w:tcPr>
            <w:tcW w:w="3280" w:type="dxa"/>
            <w:gridSpan w:val="2"/>
            <w:shd w:val="clear" w:color="auto" w:fill="DEEAF6"/>
          </w:tcPr>
          <w:p>
            <w:pPr>
              <w:pStyle w:val="TableParagraph"/>
              <w:ind w:left="44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TRF ACORDO OAB CAAMG</w:t>
            </w:r>
          </w:p>
        </w:tc>
      </w:tr>
      <w:tr>
        <w:trPr>
          <w:trHeight w:val="270" w:hRule="atLeast"/>
        </w:trPr>
        <w:tc>
          <w:tcPr>
            <w:tcW w:w="1762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shd w:val="clear" w:color="auto" w:fill="DEEAF6"/>
          </w:tcPr>
          <w:p>
            <w:pPr>
              <w:pStyle w:val="TableParagraph"/>
              <w:spacing w:before="32"/>
              <w:ind w:left="313" w:right="3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SGL</w:t>
            </w:r>
          </w:p>
        </w:tc>
        <w:tc>
          <w:tcPr>
            <w:tcW w:w="1561" w:type="dxa"/>
            <w:shd w:val="clear" w:color="auto" w:fill="DEEAF6"/>
          </w:tcPr>
          <w:p>
            <w:pPr>
              <w:pStyle w:val="TableParagraph"/>
              <w:spacing w:before="32"/>
              <w:ind w:left="270" w:right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DBL</w:t>
            </w:r>
          </w:p>
        </w:tc>
        <w:tc>
          <w:tcPr>
            <w:tcW w:w="1726" w:type="dxa"/>
            <w:shd w:val="clear" w:color="auto" w:fill="DEEAF6"/>
          </w:tcPr>
          <w:p>
            <w:pPr>
              <w:pStyle w:val="TableParagraph"/>
              <w:spacing w:before="32"/>
              <w:ind w:right="3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SGL</w:t>
            </w:r>
          </w:p>
        </w:tc>
        <w:tc>
          <w:tcPr>
            <w:tcW w:w="1554" w:type="dxa"/>
            <w:shd w:val="clear" w:color="auto" w:fill="DEEAF6"/>
          </w:tcPr>
          <w:p>
            <w:pPr>
              <w:pStyle w:val="TableParagraph"/>
              <w:spacing w:before="32"/>
              <w:ind w:left="267" w:right="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DBL</w:t>
            </w:r>
          </w:p>
        </w:tc>
      </w:tr>
      <w:tr>
        <w:trPr>
          <w:trHeight w:val="316" w:hRule="atLeast"/>
        </w:trPr>
        <w:tc>
          <w:tcPr>
            <w:tcW w:w="1762" w:type="dxa"/>
            <w:shd w:val="clear" w:color="auto" w:fill="9CC2E4"/>
          </w:tcPr>
          <w:p>
            <w:pPr>
              <w:pStyle w:val="TableParagraph"/>
              <w:spacing w:before="54"/>
              <w:ind w:left="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643" w:type="dxa"/>
            <w:shd w:val="clear" w:color="auto" w:fill="DEEAF6"/>
          </w:tcPr>
          <w:p>
            <w:pPr>
              <w:pStyle w:val="TableParagraph"/>
              <w:spacing w:before="26"/>
              <w:ind w:left="314" w:right="310"/>
              <w:rPr>
                <w:sz w:val="22"/>
              </w:rPr>
            </w:pPr>
            <w:r>
              <w:rPr>
                <w:sz w:val="22"/>
              </w:rPr>
              <w:t>R$ 260,00</w:t>
            </w:r>
          </w:p>
        </w:tc>
        <w:tc>
          <w:tcPr>
            <w:tcW w:w="1561" w:type="dxa"/>
            <w:shd w:val="clear" w:color="auto" w:fill="DEEAF6"/>
          </w:tcPr>
          <w:p>
            <w:pPr>
              <w:pStyle w:val="TableParagraph"/>
              <w:spacing w:before="26"/>
              <w:ind w:left="272" w:right="270"/>
              <w:rPr>
                <w:sz w:val="22"/>
              </w:rPr>
            </w:pPr>
            <w:r>
              <w:rPr>
                <w:sz w:val="22"/>
              </w:rPr>
              <w:t>R$ 280,00</w:t>
            </w:r>
          </w:p>
        </w:tc>
        <w:tc>
          <w:tcPr>
            <w:tcW w:w="1726" w:type="dxa"/>
            <w:shd w:val="clear" w:color="auto" w:fill="DEEAF6"/>
          </w:tcPr>
          <w:p>
            <w:pPr>
              <w:pStyle w:val="TableParagraph"/>
              <w:spacing w:before="26"/>
              <w:ind w:right="354"/>
              <w:rPr>
                <w:sz w:val="22"/>
              </w:rPr>
            </w:pPr>
            <w:r>
              <w:rPr>
                <w:color w:val="FF0000"/>
                <w:sz w:val="22"/>
              </w:rPr>
              <w:t>R$ 122,00</w:t>
            </w:r>
          </w:p>
        </w:tc>
        <w:tc>
          <w:tcPr>
            <w:tcW w:w="1554" w:type="dxa"/>
            <w:shd w:val="clear" w:color="auto" w:fill="DEEAF6"/>
          </w:tcPr>
          <w:p>
            <w:pPr>
              <w:pStyle w:val="TableParagraph"/>
              <w:spacing w:before="26"/>
              <w:ind w:left="269" w:right="266"/>
              <w:rPr>
                <w:sz w:val="22"/>
              </w:rPr>
            </w:pPr>
            <w:r>
              <w:rPr>
                <w:color w:val="FF0000"/>
                <w:sz w:val="22"/>
              </w:rPr>
              <w:t>R$ 135,00</w:t>
            </w:r>
          </w:p>
        </w:tc>
      </w:tr>
      <w:tr>
        <w:trPr>
          <w:trHeight w:val="313" w:hRule="atLeast"/>
        </w:trPr>
        <w:tc>
          <w:tcPr>
            <w:tcW w:w="1762" w:type="dxa"/>
            <w:shd w:val="clear" w:color="auto" w:fill="9CC2E4"/>
          </w:tcPr>
          <w:p>
            <w:pPr>
              <w:pStyle w:val="TableParagraph"/>
              <w:spacing w:before="51"/>
              <w:ind w:left="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LUXO</w:t>
            </w:r>
          </w:p>
        </w:tc>
        <w:tc>
          <w:tcPr>
            <w:tcW w:w="1643" w:type="dxa"/>
            <w:shd w:val="clear" w:color="auto" w:fill="DEEAF6"/>
          </w:tcPr>
          <w:p>
            <w:pPr>
              <w:pStyle w:val="TableParagraph"/>
              <w:ind w:left="314" w:right="310"/>
              <w:rPr>
                <w:sz w:val="22"/>
              </w:rPr>
            </w:pPr>
            <w:r>
              <w:rPr>
                <w:sz w:val="22"/>
              </w:rPr>
              <w:t>R$ 312,00</w:t>
            </w:r>
          </w:p>
        </w:tc>
        <w:tc>
          <w:tcPr>
            <w:tcW w:w="1561" w:type="dxa"/>
            <w:shd w:val="clear" w:color="auto" w:fill="DEEAF6"/>
          </w:tcPr>
          <w:p>
            <w:pPr>
              <w:pStyle w:val="TableParagraph"/>
              <w:ind w:left="272" w:right="270"/>
              <w:rPr>
                <w:sz w:val="22"/>
              </w:rPr>
            </w:pPr>
            <w:r>
              <w:rPr>
                <w:sz w:val="22"/>
              </w:rPr>
              <w:t>R$ 332,00</w:t>
            </w:r>
          </w:p>
        </w:tc>
        <w:tc>
          <w:tcPr>
            <w:tcW w:w="1726" w:type="dxa"/>
            <w:shd w:val="clear" w:color="auto" w:fill="DEEAF6"/>
          </w:tcPr>
          <w:p>
            <w:pPr>
              <w:pStyle w:val="TableParagraph"/>
              <w:ind w:right="354"/>
              <w:rPr>
                <w:sz w:val="22"/>
              </w:rPr>
            </w:pPr>
            <w:r>
              <w:rPr>
                <w:color w:val="FF0000"/>
                <w:sz w:val="22"/>
              </w:rPr>
              <w:t>R$ 152,00</w:t>
            </w:r>
          </w:p>
        </w:tc>
        <w:tc>
          <w:tcPr>
            <w:tcW w:w="1554" w:type="dxa"/>
            <w:shd w:val="clear" w:color="auto" w:fill="DEEAF6"/>
          </w:tcPr>
          <w:p>
            <w:pPr>
              <w:pStyle w:val="TableParagraph"/>
              <w:ind w:left="269" w:right="266"/>
              <w:rPr>
                <w:sz w:val="22"/>
              </w:rPr>
            </w:pPr>
            <w:r>
              <w:rPr>
                <w:color w:val="FF0000"/>
                <w:sz w:val="22"/>
              </w:rPr>
              <w:t>R$ 172,00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1"/>
        <w:ind w:left="122" w:right="0" w:firstLine="0"/>
        <w:jc w:val="left"/>
        <w:rPr>
          <w:sz w:val="22"/>
        </w:rPr>
      </w:pPr>
      <w:r>
        <w:rPr>
          <w:b/>
          <w:sz w:val="22"/>
          <w:u w:val="thick"/>
        </w:rPr>
        <w:t>Condições Gerais</w:t>
      </w:r>
      <w:r>
        <w:rPr>
          <w:sz w:val="22"/>
        </w:rPr>
        <w:t>:</w:t>
      </w:r>
    </w:p>
    <w:p>
      <w:pPr>
        <w:pStyle w:val="BodyText"/>
        <w:spacing w:before="178"/>
        <w:ind w:left="122"/>
      </w:pPr>
      <w:r>
        <w:rPr/>
        <w:t>*Tarifas em Reais (R$), válidas por diária e por apartamento; * Serão acrescidas de 5% de ISS;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34" w:after="0"/>
        <w:ind w:left="122" w:right="0" w:firstLine="0"/>
        <w:jc w:val="left"/>
        <w:rPr>
          <w:sz w:val="20"/>
        </w:rPr>
      </w:pPr>
      <w:r>
        <w:rPr>
          <w:sz w:val="20"/>
        </w:rPr>
        <w:t>As diárias iniciam-se às 14h e encerram-se às</w:t>
      </w:r>
      <w:r>
        <w:rPr>
          <w:spacing w:val="-3"/>
          <w:sz w:val="20"/>
        </w:rPr>
        <w:t> </w:t>
      </w:r>
      <w:r>
        <w:rPr>
          <w:sz w:val="20"/>
        </w:rPr>
        <w:t>12h;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78" w:lineRule="auto" w:before="35" w:after="0"/>
        <w:ind w:left="122" w:right="123" w:firstLine="0"/>
        <w:jc w:val="left"/>
        <w:rPr>
          <w:sz w:val="20"/>
        </w:rPr>
      </w:pPr>
      <w:r>
        <w:rPr>
          <w:sz w:val="20"/>
        </w:rPr>
        <w:t>Valores incluem: Café da manhã servido no restaurante do hotel das 06h às 10h; estacionamento coberto e conexão de internet como</w:t>
      </w:r>
      <w:r>
        <w:rPr>
          <w:spacing w:val="1"/>
          <w:sz w:val="20"/>
        </w:rPr>
        <w:t> </w:t>
      </w:r>
      <w:r>
        <w:rPr>
          <w:sz w:val="20"/>
        </w:rPr>
        <w:t>cortesia;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27" w:lineRule="exact" w:before="0" w:after="0"/>
        <w:ind w:left="254" w:right="0" w:hanging="132"/>
        <w:jc w:val="left"/>
        <w:rPr>
          <w:sz w:val="20"/>
        </w:rPr>
      </w:pPr>
      <w:r>
        <w:rPr>
          <w:sz w:val="20"/>
        </w:rPr>
        <w:t>1 criança até 7 anos, cortesia desde que hospedada no mesmo apartamento dos</w:t>
      </w:r>
      <w:r>
        <w:rPr>
          <w:spacing w:val="-11"/>
          <w:sz w:val="20"/>
        </w:rPr>
        <w:t> </w:t>
      </w:r>
      <w:r>
        <w:rPr>
          <w:sz w:val="20"/>
        </w:rPr>
        <w:t>pais;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34" w:after="0"/>
        <w:ind w:left="122" w:right="0" w:firstLine="0"/>
        <w:jc w:val="left"/>
        <w:rPr>
          <w:sz w:val="20"/>
        </w:rPr>
      </w:pPr>
      <w:r>
        <w:rPr>
          <w:sz w:val="20"/>
        </w:rPr>
        <w:t>Não dispomos de apartamentos</w:t>
      </w:r>
      <w:r>
        <w:rPr>
          <w:spacing w:val="-1"/>
          <w:sz w:val="20"/>
        </w:rPr>
        <w:t> </w:t>
      </w:r>
      <w:r>
        <w:rPr>
          <w:sz w:val="20"/>
        </w:rPr>
        <w:t>triplos;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76" w:lineRule="auto" w:before="34" w:after="0"/>
        <w:ind w:left="122" w:right="120" w:firstLine="0"/>
        <w:jc w:val="left"/>
        <w:rPr>
          <w:sz w:val="20"/>
        </w:rPr>
      </w:pPr>
      <w:r>
        <w:rPr>
          <w:sz w:val="20"/>
        </w:rPr>
        <w:t>Forma de pagamento: garantido no cartão de crédito e/ou faturado mediante aprovação de ficha</w:t>
      </w:r>
      <w:r>
        <w:rPr>
          <w:spacing w:val="-2"/>
          <w:sz w:val="20"/>
        </w:rPr>
        <w:t> </w:t>
      </w:r>
      <w:r>
        <w:rPr>
          <w:sz w:val="20"/>
        </w:rPr>
        <w:t>cadastral;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1" w:after="0"/>
        <w:ind w:left="122" w:right="0" w:firstLine="0"/>
        <w:jc w:val="left"/>
        <w:rPr>
          <w:sz w:val="20"/>
        </w:rPr>
      </w:pPr>
      <w:r>
        <w:rPr>
          <w:sz w:val="20"/>
        </w:rPr>
        <w:t>Tarifas net, ou seja, não comissionadas para agências de</w:t>
      </w:r>
      <w:r>
        <w:rPr>
          <w:spacing w:val="-7"/>
          <w:sz w:val="20"/>
        </w:rPr>
        <w:t> </w:t>
      </w:r>
      <w:r>
        <w:rPr>
          <w:sz w:val="20"/>
        </w:rPr>
        <w:t>viagens;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34" w:after="0"/>
        <w:ind w:left="122" w:right="0" w:firstLine="0"/>
        <w:jc w:val="left"/>
        <w:rPr>
          <w:sz w:val="20"/>
        </w:rPr>
      </w:pPr>
      <w:r>
        <w:rPr>
          <w:sz w:val="20"/>
        </w:rPr>
        <w:t>Reservas serão aceitas conforme consulta prévia e disponibilidade do</w:t>
      </w:r>
      <w:r>
        <w:rPr>
          <w:spacing w:val="-2"/>
          <w:sz w:val="20"/>
        </w:rPr>
        <w:t> </w:t>
      </w:r>
      <w:r>
        <w:rPr>
          <w:sz w:val="20"/>
        </w:rPr>
        <w:t>hotel;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76" w:lineRule="auto" w:before="34" w:after="0"/>
        <w:ind w:left="122" w:right="120" w:firstLine="0"/>
        <w:jc w:val="left"/>
        <w:rPr>
          <w:sz w:val="20"/>
        </w:rPr>
      </w:pPr>
      <w:r>
        <w:rPr>
          <w:sz w:val="20"/>
        </w:rPr>
        <w:t>Reservas garantidas só poderão ser alteradas e ou canceladas com antecedência de até 24h do check in, caso contrário será cobrada a primeira diária (NO</w:t>
      </w:r>
      <w:r>
        <w:rPr>
          <w:spacing w:val="-5"/>
          <w:sz w:val="20"/>
        </w:rPr>
        <w:t> </w:t>
      </w:r>
      <w:r>
        <w:rPr>
          <w:sz w:val="20"/>
        </w:rPr>
        <w:t>SHOW);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29" w:lineRule="exact" w:before="0" w:after="0"/>
        <w:ind w:left="122" w:right="0" w:firstLine="0"/>
        <w:jc w:val="left"/>
        <w:rPr>
          <w:sz w:val="20"/>
        </w:rPr>
      </w:pPr>
      <w:r>
        <w:rPr>
          <w:sz w:val="20"/>
        </w:rPr>
        <w:t>Garantia de No Show</w:t>
      </w:r>
      <w:r>
        <w:rPr>
          <w:spacing w:val="-1"/>
          <w:sz w:val="20"/>
        </w:rPr>
        <w:t> </w:t>
      </w:r>
      <w:r>
        <w:rPr>
          <w:sz w:val="20"/>
        </w:rPr>
        <w:t>Indispensável;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37" w:after="0"/>
        <w:ind w:left="122" w:right="126" w:firstLine="0"/>
        <w:jc w:val="left"/>
        <w:rPr>
          <w:sz w:val="20"/>
        </w:rPr>
      </w:pPr>
      <w:r>
        <w:rPr>
          <w:sz w:val="20"/>
        </w:rPr>
        <w:t>Tarifas SOB CONSULTA e disponibilidade para períodos especiais como: (feiras, congressos e feriados</w:t>
      </w:r>
      <w:r>
        <w:rPr>
          <w:spacing w:val="-2"/>
          <w:sz w:val="20"/>
        </w:rPr>
        <w:t> </w:t>
      </w:r>
      <w:r>
        <w:rPr>
          <w:sz w:val="20"/>
        </w:rPr>
        <w:t>prolongados);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122" w:right="114"/>
      </w:pPr>
      <w:r>
        <w:rPr/>
        <w:t>Agradecemos a preferência pelos nossos serviços e colocamo-nos a disposição para quaisquer informações adicionais</w:t>
      </w:r>
    </w:p>
    <w:p>
      <w:pPr>
        <w:pStyle w:val="BodyText"/>
        <w:spacing w:before="160"/>
        <w:ind w:left="122"/>
      </w:pPr>
      <w:r>
        <w:rPr/>
        <w:t>Atenciosamente,</w:t>
      </w:r>
    </w:p>
    <w:p>
      <w:pPr>
        <w:pStyle w:val="BodyText"/>
        <w:spacing w:before="178"/>
        <w:ind w:left="122" w:right="6918"/>
      </w:pPr>
      <w:r>
        <w:rPr/>
        <w:t>Raquel Siqueira Gerente de Contas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 w:before="74"/>
        <w:ind w:left="412" w:right="114" w:firstLine="256"/>
      </w:pPr>
      <w:r>
        <w:rPr>
          <w:rFonts w:ascii="Trebuchet MS" w:hAnsi="Trebuchet MS"/>
          <w:b/>
          <w:sz w:val="22"/>
        </w:rPr>
        <w:t>Nobile Express </w:t>
      </w:r>
      <w:r>
        <w:rPr>
          <w:rFonts w:ascii="Trebuchet MS" w:hAnsi="Trebuchet MS"/>
          <w:sz w:val="22"/>
        </w:rPr>
        <w:t>- </w:t>
      </w:r>
      <w:r>
        <w:rPr/>
        <w:t>Avenida Presidente Itamar Franco, 570 centro – Juiz de Fora | MG Cep. 36.010.020 Telefone: (032) 3512-3100 – e-mail: </w:t>
      </w:r>
      <w:hyperlink r:id="rId7">
        <w:r>
          <w:rPr>
            <w:color w:val="0462C1"/>
            <w:u w:val="single" w:color="0462C1"/>
          </w:rPr>
          <w:t>reservas.nejf@nobilehoteis.com.br</w:t>
        </w:r>
      </w:hyperlink>
    </w:p>
    <w:p>
      <w:pPr>
        <w:spacing w:line="222" w:lineRule="exact" w:before="0"/>
        <w:ind w:left="2853" w:right="2853" w:firstLine="0"/>
        <w:jc w:val="center"/>
        <w:rPr>
          <w:b/>
          <w:sz w:val="20"/>
        </w:rPr>
      </w:pPr>
      <w:hyperlink r:id="rId8">
        <w:r>
          <w:rPr>
            <w:b/>
            <w:sz w:val="20"/>
          </w:rPr>
          <w:t>www.nobilehoteis.com.br</w:t>
        </w:r>
      </w:hyperlink>
    </w:p>
    <w:sectPr>
      <w:type w:val="continuous"/>
      <w:pgSz w:w="11910" w:h="16840"/>
      <w:pgMar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2" w:hanging="133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982" w:hanging="1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845" w:hanging="1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707" w:hanging="1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570" w:hanging="1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33" w:hanging="1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295" w:hanging="1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158" w:hanging="1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021" w:hanging="13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34"/>
      <w:ind w:left="122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23"/>
      <w:ind w:left="354"/>
      <w:jc w:val="center"/>
    </w:pPr>
    <w:rPr>
      <w:rFonts w:ascii="Trebuchet MS" w:hAnsi="Trebuchet MS" w:eastAsia="Trebuchet MS" w:cs="Trebuchet MS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reservas.nejf@nobilehoteis.com.br" TargetMode="External"/><Relationship Id="rId8" Type="http://schemas.openxmlformats.org/officeDocument/2006/relationships/hyperlink" Target="http://www.nobilehoteis.com.br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Kede</dc:creator>
  <dcterms:created xsi:type="dcterms:W3CDTF">2019-02-26T18:40:50Z</dcterms:created>
  <dcterms:modified xsi:type="dcterms:W3CDTF">2019-02-26T18:40:50Z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2019-02-26T00:00:00Z</vt:filetime>
  </property>
</Properties>
</file>